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C0844" w14:textId="610FD448" w:rsidR="00CE07C5" w:rsidRDefault="00FA2193">
      <w:pPr>
        <w:rPr>
          <w:sz w:val="32"/>
          <w:szCs w:val="32"/>
        </w:rPr>
      </w:pPr>
      <w:r w:rsidRPr="00FA2193">
        <w:rPr>
          <w:sz w:val="32"/>
          <w:szCs w:val="32"/>
        </w:rPr>
        <w:t xml:space="preserve">DO YOU AGREE OR </w:t>
      </w:r>
      <w:proofErr w:type="gramStart"/>
      <w:r w:rsidRPr="00FA2193">
        <w:rPr>
          <w:sz w:val="32"/>
          <w:szCs w:val="32"/>
        </w:rPr>
        <w:t xml:space="preserve">DISAGREE </w:t>
      </w:r>
      <w:r>
        <w:rPr>
          <w:sz w:val="32"/>
          <w:szCs w:val="32"/>
        </w:rPr>
        <w:t xml:space="preserve"> AND</w:t>
      </w:r>
      <w:proofErr w:type="gramEnd"/>
      <w:r>
        <w:rPr>
          <w:sz w:val="32"/>
          <w:szCs w:val="32"/>
        </w:rPr>
        <w:t xml:space="preserve"> WHY? 75 WORDS EACH </w:t>
      </w:r>
    </w:p>
    <w:p w14:paraId="35E60F59" w14:textId="7425C5E1" w:rsidR="00FA2193" w:rsidRPr="00FA2193" w:rsidRDefault="00FA2193" w:rsidP="00FA2193">
      <w:pPr>
        <w:rPr>
          <w:rFonts w:ascii="Times New Roman" w:eastAsia="Times New Roman" w:hAnsi="Times New Roman" w:cs="Times New Roman"/>
          <w:sz w:val="32"/>
          <w:szCs w:val="32"/>
        </w:rPr>
      </w:pPr>
      <w:r w:rsidRPr="00FA2193">
        <w:rPr>
          <w:sz w:val="32"/>
          <w:szCs w:val="32"/>
        </w:rPr>
        <w:t xml:space="preserve"> 1.</w:t>
      </w:r>
      <w:r w:rsidRPr="00FA2193">
        <w:rPr>
          <w:rFonts w:ascii="Times New Roman" w:eastAsia="Times New Roman" w:hAnsi="Times New Roman" w:cs="Times New Roman"/>
          <w:spacing w:val="2"/>
          <w:sz w:val="32"/>
          <w:szCs w:val="32"/>
        </w:rPr>
        <w:t xml:space="preserve"> </w:t>
      </w:r>
      <w:r w:rsidRPr="00FA2193">
        <w:rPr>
          <w:rFonts w:ascii="Times New Roman" w:eastAsia="Times New Roman" w:hAnsi="Times New Roman" w:cs="Times New Roman"/>
          <w:spacing w:val="2"/>
          <w:sz w:val="32"/>
          <w:szCs w:val="32"/>
        </w:rPr>
        <w:t>Frederick</w:t>
      </w:r>
      <w:r w:rsidRPr="00FA2193">
        <w:rPr>
          <w:rFonts w:ascii="Times New Roman" w:eastAsia="Times New Roman" w:hAnsi="Times New Roman" w:cs="Times New Roman"/>
          <w:spacing w:val="2"/>
          <w:sz w:val="32"/>
          <w:szCs w:val="32"/>
        </w:rPr>
        <w:t>,</w:t>
      </w:r>
    </w:p>
    <w:p w14:paraId="55E794C9" w14:textId="77777777" w:rsidR="00FA2193" w:rsidRPr="00FA2193" w:rsidRDefault="00FA2193" w:rsidP="00FA2193">
      <w:pPr>
        <w:spacing w:after="150" w:line="240" w:lineRule="auto"/>
        <w:rPr>
          <w:rFonts w:ascii="Times New Roman" w:eastAsia="Times New Roman" w:hAnsi="Times New Roman" w:cs="Times New Roman"/>
          <w:spacing w:val="2"/>
          <w:sz w:val="32"/>
          <w:szCs w:val="32"/>
        </w:rPr>
      </w:pPr>
      <w:r w:rsidRPr="00FA2193">
        <w:rPr>
          <w:rFonts w:ascii="Times New Roman" w:eastAsia="Times New Roman" w:hAnsi="Times New Roman" w:cs="Times New Roman"/>
          <w:spacing w:val="2"/>
          <w:sz w:val="32"/>
          <w:szCs w:val="32"/>
        </w:rPr>
        <w:t>In statistical hypothesis testing, a two-sample test is a test performed on the data of two random samples, each independently obtained from a different given population (Van Mart, 2017). The purpose of the test is to determine whether the difference between these two populations is significant. This type of testing can be used in everyday life just as it is used statistically. In my opinion, this type of testing is more accurate in my opinion because it requires a dependent group for each sample.</w:t>
      </w:r>
    </w:p>
    <w:p w14:paraId="3043B97D" w14:textId="77777777" w:rsidR="00FA2193" w:rsidRPr="00FA2193" w:rsidRDefault="00FA2193" w:rsidP="00FA2193">
      <w:pPr>
        <w:spacing w:after="150" w:line="240" w:lineRule="auto"/>
        <w:rPr>
          <w:rFonts w:ascii="Times New Roman" w:eastAsia="Times New Roman" w:hAnsi="Times New Roman" w:cs="Times New Roman"/>
          <w:spacing w:val="2"/>
          <w:sz w:val="32"/>
          <w:szCs w:val="32"/>
        </w:rPr>
      </w:pPr>
      <w:r w:rsidRPr="00FA2193">
        <w:rPr>
          <w:rFonts w:ascii="Times New Roman" w:eastAsia="Times New Roman" w:hAnsi="Times New Roman" w:cs="Times New Roman"/>
          <w:spacing w:val="2"/>
          <w:sz w:val="32"/>
          <w:szCs w:val="32"/>
        </w:rPr>
        <w:t xml:space="preserve">At my current employer we promote, offer, and sale to big business as well as small business. It would automatically appear that we would profit more from the bigger organizations, but under our assumptions, we think that we profit more for the plethora of small organizations that we do business with. One difference between small businesses and large companies is that small companies often focus on a niche market, while larger companies tend to offer more products and services to a wider variety of consumers (Hayes, 2012). This is not the case with my current organization because we cater to both big and small organizations. By conducting a two-sample hypothesis test, the information could be determined and not just assumed. This way we can focus more on the smaller organizations because they spend the most money with our company. The company could offer better promotions and sales to the smaller organizations. These are the companies that help to bring in </w:t>
      </w:r>
      <w:proofErr w:type="gramStart"/>
      <w:r w:rsidRPr="00FA2193">
        <w:rPr>
          <w:rFonts w:ascii="Times New Roman" w:eastAsia="Times New Roman" w:hAnsi="Times New Roman" w:cs="Times New Roman"/>
          <w:spacing w:val="2"/>
          <w:sz w:val="32"/>
          <w:szCs w:val="32"/>
        </w:rPr>
        <w:t>the majority of</w:t>
      </w:r>
      <w:proofErr w:type="gramEnd"/>
      <w:r w:rsidRPr="00FA2193">
        <w:rPr>
          <w:rFonts w:ascii="Times New Roman" w:eastAsia="Times New Roman" w:hAnsi="Times New Roman" w:cs="Times New Roman"/>
          <w:spacing w:val="2"/>
          <w:sz w:val="32"/>
          <w:szCs w:val="32"/>
        </w:rPr>
        <w:t xml:space="preserve"> sale and profit for my organization.</w:t>
      </w:r>
    </w:p>
    <w:p w14:paraId="312FBB6A" w14:textId="77777777" w:rsidR="00FA2193" w:rsidRPr="00FA2193" w:rsidRDefault="00FA2193" w:rsidP="00FA2193">
      <w:pPr>
        <w:spacing w:after="150" w:line="240" w:lineRule="auto"/>
        <w:rPr>
          <w:rFonts w:ascii="Times New Roman" w:eastAsia="Times New Roman" w:hAnsi="Times New Roman" w:cs="Times New Roman"/>
          <w:spacing w:val="2"/>
          <w:sz w:val="32"/>
          <w:szCs w:val="32"/>
        </w:rPr>
      </w:pPr>
      <w:r w:rsidRPr="00FA2193">
        <w:rPr>
          <w:rFonts w:ascii="Times New Roman" w:eastAsia="Times New Roman" w:hAnsi="Times New Roman" w:cs="Times New Roman"/>
          <w:spacing w:val="2"/>
          <w:sz w:val="32"/>
          <w:szCs w:val="32"/>
        </w:rPr>
        <w:t>References</w:t>
      </w:r>
    </w:p>
    <w:p w14:paraId="0F35A488" w14:textId="77777777" w:rsidR="00FA2193" w:rsidRPr="00FA2193" w:rsidRDefault="00FA2193" w:rsidP="00FA2193">
      <w:pPr>
        <w:spacing w:after="150" w:line="240" w:lineRule="auto"/>
        <w:rPr>
          <w:rFonts w:ascii="Times New Roman" w:eastAsia="Times New Roman" w:hAnsi="Times New Roman" w:cs="Times New Roman"/>
          <w:spacing w:val="2"/>
          <w:sz w:val="21"/>
          <w:szCs w:val="21"/>
        </w:rPr>
      </w:pPr>
      <w:r w:rsidRPr="00FA2193">
        <w:rPr>
          <w:rFonts w:ascii="Times New Roman" w:eastAsia="Times New Roman" w:hAnsi="Times New Roman" w:cs="Times New Roman"/>
          <w:spacing w:val="2"/>
          <w:sz w:val="21"/>
          <w:szCs w:val="21"/>
        </w:rPr>
        <w:t>Hayes, T. (2012). The Non-Profit Sector, Government and Business: Partners in the dance of change - an Irish perspective. Public Management Review, 4(2), 257–264. </w:t>
      </w:r>
      <w:hyperlink r:id="rId4" w:history="1">
        <w:r w:rsidRPr="00FA2193">
          <w:rPr>
            <w:rFonts w:ascii="Times New Roman" w:eastAsia="Times New Roman" w:hAnsi="Times New Roman" w:cs="Times New Roman"/>
            <w:color w:val="337AB7"/>
            <w:spacing w:val="2"/>
            <w:sz w:val="21"/>
            <w:szCs w:val="21"/>
            <w:u w:val="single"/>
          </w:rPr>
          <w:t>https://doi-org.bethelu.idm.oclc.org/10.1080/14616670210130499</w:t>
        </w:r>
      </w:hyperlink>
    </w:p>
    <w:p w14:paraId="17F5B2C6" w14:textId="77777777" w:rsidR="00FA2193" w:rsidRPr="00FA2193" w:rsidRDefault="00FA2193" w:rsidP="00FA2193">
      <w:pPr>
        <w:spacing w:after="150" w:line="240" w:lineRule="auto"/>
        <w:rPr>
          <w:rFonts w:ascii="Times New Roman" w:eastAsia="Times New Roman" w:hAnsi="Times New Roman" w:cs="Times New Roman"/>
          <w:spacing w:val="2"/>
          <w:sz w:val="21"/>
          <w:szCs w:val="21"/>
        </w:rPr>
      </w:pPr>
      <w:r w:rsidRPr="00FA2193">
        <w:rPr>
          <w:rFonts w:ascii="Times New Roman" w:eastAsia="Times New Roman" w:hAnsi="Times New Roman" w:cs="Times New Roman"/>
          <w:spacing w:val="2"/>
          <w:sz w:val="21"/>
          <w:szCs w:val="21"/>
        </w:rPr>
        <w:t>Van Wart, M. (2017). Two Approaches to Statistical Studies. Public Administration Review, 70(4), 650–653. https://doi-org.bethelu.idm.oclc.org/10.1111/j.1540-6210.2010.02191.x</w:t>
      </w:r>
    </w:p>
    <w:p w14:paraId="47D826B4" w14:textId="725E2F55" w:rsidR="00FA2193" w:rsidRPr="00FA2193" w:rsidRDefault="00FA2193" w:rsidP="00FA2193">
      <w:pPr>
        <w:spacing w:line="240" w:lineRule="auto"/>
        <w:textAlignment w:val="center"/>
        <w:rPr>
          <w:rFonts w:ascii="Times New Roman" w:eastAsia="Times New Roman" w:hAnsi="Times New Roman" w:cs="Times New Roman"/>
          <w:spacing w:val="2"/>
          <w:sz w:val="36"/>
          <w:szCs w:val="36"/>
        </w:rPr>
      </w:pPr>
      <w:r>
        <w:rPr>
          <w:rFonts w:ascii="Times New Roman" w:eastAsia="Times New Roman" w:hAnsi="Times New Roman" w:cs="Times New Roman"/>
          <w:spacing w:val="2"/>
          <w:sz w:val="21"/>
          <w:szCs w:val="21"/>
        </w:rPr>
        <w:t xml:space="preserve"> </w:t>
      </w:r>
    </w:p>
    <w:p w14:paraId="7DD3C1DB" w14:textId="47D007FC" w:rsidR="00FA2193" w:rsidRPr="00FA2193" w:rsidRDefault="00FA2193" w:rsidP="00FA2193">
      <w:pPr>
        <w:shd w:val="clear" w:color="auto" w:fill="FFFFFF"/>
        <w:rPr>
          <w:rFonts w:ascii="Helvetica" w:eastAsia="Times New Roman" w:hAnsi="Helvetica" w:cs="Times New Roman"/>
          <w:color w:val="333333"/>
          <w:sz w:val="36"/>
          <w:szCs w:val="36"/>
        </w:rPr>
      </w:pPr>
      <w:r w:rsidRPr="00FA2193">
        <w:rPr>
          <w:rFonts w:ascii="Times New Roman" w:eastAsia="Times New Roman" w:hAnsi="Times New Roman" w:cs="Times New Roman"/>
          <w:spacing w:val="2"/>
          <w:sz w:val="36"/>
          <w:szCs w:val="36"/>
        </w:rPr>
        <w:t>2</w:t>
      </w:r>
      <w:r>
        <w:rPr>
          <w:rFonts w:ascii="Times New Roman" w:eastAsia="Times New Roman" w:hAnsi="Times New Roman" w:cs="Times New Roman"/>
          <w:spacing w:val="2"/>
          <w:sz w:val="36"/>
          <w:szCs w:val="36"/>
        </w:rPr>
        <w:t xml:space="preserve">. </w:t>
      </w:r>
      <w:r w:rsidRPr="00FA2193">
        <w:rPr>
          <w:rFonts w:ascii="Helvetica" w:eastAsia="Times New Roman" w:hAnsi="Helvetica" w:cs="Times New Roman"/>
          <w:color w:val="333333"/>
          <w:spacing w:val="2"/>
          <w:sz w:val="36"/>
          <w:szCs w:val="36"/>
        </w:rPr>
        <w:t xml:space="preserve">Ryan, </w:t>
      </w:r>
    </w:p>
    <w:p w14:paraId="3FC0E578" w14:textId="77777777" w:rsidR="00FA2193" w:rsidRPr="00FA2193" w:rsidRDefault="00FA2193" w:rsidP="00FA2193">
      <w:pPr>
        <w:shd w:val="clear" w:color="auto" w:fill="FFFFFF"/>
        <w:spacing w:after="150" w:line="240" w:lineRule="auto"/>
        <w:rPr>
          <w:rFonts w:ascii="Helvetica" w:eastAsia="Times New Roman" w:hAnsi="Helvetica" w:cs="Times New Roman"/>
          <w:color w:val="333333"/>
          <w:spacing w:val="2"/>
          <w:sz w:val="28"/>
          <w:szCs w:val="28"/>
        </w:rPr>
      </w:pPr>
      <w:r w:rsidRPr="00FA2193">
        <w:rPr>
          <w:rFonts w:ascii="Helvetica" w:eastAsia="Times New Roman" w:hAnsi="Helvetica" w:cs="Times New Roman"/>
          <w:color w:val="333333"/>
          <w:spacing w:val="2"/>
          <w:sz w:val="28"/>
          <w:szCs w:val="28"/>
        </w:rPr>
        <w:lastRenderedPageBreak/>
        <w:t>In my organization, a two-sample test gets used a lot. Thinking on a larger scale than just what one's career field is. For many instances, the military uses two-sample tests, from sampling eligible people for promotions to comparing data on what companies to purchase material. Another example could be what type of training is more effective than another. A two-sample test can visualize the hypothesis someone assumes and either prove it or disprove it.</w:t>
      </w:r>
    </w:p>
    <w:p w14:paraId="6630109F" w14:textId="77777777" w:rsidR="00FA2193" w:rsidRPr="00FA2193" w:rsidRDefault="00FA2193" w:rsidP="00FA2193">
      <w:pPr>
        <w:shd w:val="clear" w:color="auto" w:fill="FFFFFF"/>
        <w:spacing w:after="150" w:line="240" w:lineRule="auto"/>
        <w:rPr>
          <w:rFonts w:ascii="Helvetica" w:eastAsia="Times New Roman" w:hAnsi="Helvetica" w:cs="Times New Roman"/>
          <w:color w:val="333333"/>
          <w:spacing w:val="2"/>
          <w:sz w:val="28"/>
          <w:szCs w:val="28"/>
        </w:rPr>
      </w:pPr>
      <w:r w:rsidRPr="00FA2193">
        <w:rPr>
          <w:rFonts w:ascii="Helvetica" w:eastAsia="Times New Roman" w:hAnsi="Helvetica" w:cs="Times New Roman"/>
          <w:color w:val="333333"/>
          <w:spacing w:val="2"/>
          <w:sz w:val="28"/>
          <w:szCs w:val="28"/>
        </w:rPr>
        <w:t>Two-sample tests usually consist of comparing two types of variables (Mirabella, 2011). The data presented through a graph or chart takes the two or more functions and enables the observer to compare them side by side (Bhattacharya, 2019). The military commanders want to know the success rate of enlisted members who attend a leadership school in-person to those who do the online program. They would use a two-sample test to compare the difference between residence to online students and determine whether one is more successful.</w:t>
      </w:r>
    </w:p>
    <w:p w14:paraId="5CFA9068" w14:textId="77777777" w:rsidR="00FA2193" w:rsidRPr="00FA2193" w:rsidRDefault="00FA2193" w:rsidP="00FA2193">
      <w:pPr>
        <w:shd w:val="clear" w:color="auto" w:fill="FFFFFF"/>
        <w:spacing w:after="150" w:line="240" w:lineRule="auto"/>
        <w:rPr>
          <w:rFonts w:ascii="Helvetica" w:eastAsia="Times New Roman" w:hAnsi="Helvetica" w:cs="Times New Roman"/>
          <w:color w:val="333333"/>
          <w:spacing w:val="2"/>
          <w:sz w:val="28"/>
          <w:szCs w:val="28"/>
        </w:rPr>
      </w:pPr>
      <w:r w:rsidRPr="00FA2193">
        <w:rPr>
          <w:rFonts w:ascii="Helvetica" w:eastAsia="Times New Roman" w:hAnsi="Helvetica" w:cs="Times New Roman"/>
          <w:color w:val="333333"/>
          <w:spacing w:val="2"/>
          <w:sz w:val="28"/>
          <w:szCs w:val="28"/>
        </w:rPr>
        <w:t xml:space="preserve">One thing about conducting a two-sample test is figuring out the parameters to get tested. Do they relate to one another and the number of samples that are used (Rivas-Martinez &amp; Jimenez- </w:t>
      </w:r>
      <w:proofErr w:type="spellStart"/>
      <w:r w:rsidRPr="00FA2193">
        <w:rPr>
          <w:rFonts w:ascii="Helvetica" w:eastAsia="Times New Roman" w:hAnsi="Helvetica" w:cs="Times New Roman"/>
          <w:color w:val="333333"/>
          <w:spacing w:val="2"/>
          <w:sz w:val="28"/>
          <w:szCs w:val="28"/>
        </w:rPr>
        <w:t>Gamero</w:t>
      </w:r>
      <w:proofErr w:type="spellEnd"/>
      <w:r w:rsidRPr="00FA2193">
        <w:rPr>
          <w:rFonts w:ascii="Helvetica" w:eastAsia="Times New Roman" w:hAnsi="Helvetica" w:cs="Times New Roman"/>
          <w:color w:val="333333"/>
          <w:spacing w:val="2"/>
          <w:sz w:val="28"/>
          <w:szCs w:val="28"/>
        </w:rPr>
        <w:t xml:space="preserve">, </w:t>
      </w:r>
      <w:proofErr w:type="gramStart"/>
      <w:r w:rsidRPr="00FA2193">
        <w:rPr>
          <w:rFonts w:ascii="Helvetica" w:eastAsia="Times New Roman" w:hAnsi="Helvetica" w:cs="Times New Roman"/>
          <w:color w:val="333333"/>
          <w:spacing w:val="2"/>
          <w:sz w:val="28"/>
          <w:szCs w:val="28"/>
        </w:rPr>
        <w:t>2019).</w:t>
      </w:r>
      <w:proofErr w:type="gramEnd"/>
      <w:r w:rsidRPr="00FA2193">
        <w:rPr>
          <w:rFonts w:ascii="Helvetica" w:eastAsia="Times New Roman" w:hAnsi="Helvetica" w:cs="Times New Roman"/>
          <w:color w:val="333333"/>
          <w:spacing w:val="2"/>
          <w:sz w:val="28"/>
          <w:szCs w:val="28"/>
        </w:rPr>
        <w:t xml:space="preserve"> Once the samples are determined, the tests get conducted to see if the null hypothesis will either be rejected or met. Using a two-sample test hypothesis is a more in-depth way of gathering data. Instead of using one variable, a person can use multiple and see if there is or is not a relation between the two. </w:t>
      </w:r>
    </w:p>
    <w:p w14:paraId="1382CE29" w14:textId="77777777" w:rsidR="00FA2193" w:rsidRPr="00FA2193" w:rsidRDefault="00FA2193" w:rsidP="00FA2193">
      <w:pPr>
        <w:shd w:val="clear" w:color="auto" w:fill="FFFFFF"/>
        <w:spacing w:after="150" w:line="240" w:lineRule="auto"/>
        <w:rPr>
          <w:rFonts w:ascii="Helvetica" w:eastAsia="Times New Roman" w:hAnsi="Helvetica" w:cs="Times New Roman"/>
          <w:color w:val="333333"/>
          <w:spacing w:val="2"/>
          <w:sz w:val="21"/>
          <w:szCs w:val="21"/>
        </w:rPr>
      </w:pPr>
      <w:r w:rsidRPr="00FA2193">
        <w:rPr>
          <w:rFonts w:ascii="Helvetica" w:eastAsia="Times New Roman" w:hAnsi="Helvetica" w:cs="Times New Roman"/>
          <w:color w:val="333333"/>
          <w:spacing w:val="2"/>
          <w:sz w:val="21"/>
          <w:szCs w:val="21"/>
        </w:rPr>
        <w:t>References</w:t>
      </w:r>
    </w:p>
    <w:p w14:paraId="1C2BAF59" w14:textId="77777777" w:rsidR="00FA2193" w:rsidRPr="00FA2193" w:rsidRDefault="00FA2193" w:rsidP="00FA2193">
      <w:pPr>
        <w:shd w:val="clear" w:color="auto" w:fill="FFFFFF"/>
        <w:spacing w:after="150" w:line="240" w:lineRule="auto"/>
        <w:rPr>
          <w:rFonts w:ascii="Helvetica" w:eastAsia="Times New Roman" w:hAnsi="Helvetica" w:cs="Times New Roman"/>
          <w:color w:val="333333"/>
          <w:spacing w:val="2"/>
          <w:sz w:val="21"/>
          <w:szCs w:val="21"/>
        </w:rPr>
      </w:pPr>
      <w:r w:rsidRPr="00FA2193">
        <w:rPr>
          <w:rFonts w:ascii="Helvetica" w:eastAsia="Times New Roman" w:hAnsi="Helvetica" w:cs="Times New Roman"/>
          <w:color w:val="333333"/>
          <w:spacing w:val="2"/>
          <w:sz w:val="21"/>
          <w:szCs w:val="21"/>
        </w:rPr>
        <w:t xml:space="preserve">Bhattacharya, B. B. (2019). A general asymptotic framework for </w:t>
      </w:r>
      <w:proofErr w:type="spellStart"/>
      <w:r w:rsidRPr="00FA2193">
        <w:rPr>
          <w:rFonts w:ascii="Helvetica" w:eastAsia="Times New Roman" w:hAnsi="Helvetica" w:cs="Times New Roman"/>
          <w:color w:val="333333"/>
          <w:spacing w:val="2"/>
          <w:sz w:val="21"/>
          <w:szCs w:val="21"/>
        </w:rPr>
        <w:t>distributionfree</w:t>
      </w:r>
      <w:proofErr w:type="spellEnd"/>
      <w:r w:rsidRPr="00FA2193">
        <w:rPr>
          <w:rFonts w:ascii="Helvetica" w:eastAsia="Times New Roman" w:hAnsi="Helvetica" w:cs="Times New Roman"/>
          <w:color w:val="333333"/>
          <w:spacing w:val="2"/>
          <w:sz w:val="21"/>
          <w:szCs w:val="21"/>
        </w:rPr>
        <w:t xml:space="preserve"> </w:t>
      </w:r>
      <w:proofErr w:type="spellStart"/>
      <w:r w:rsidRPr="00FA2193">
        <w:rPr>
          <w:rFonts w:ascii="Helvetica" w:eastAsia="Times New Roman" w:hAnsi="Helvetica" w:cs="Times New Roman"/>
          <w:color w:val="333333"/>
          <w:spacing w:val="2"/>
          <w:sz w:val="21"/>
          <w:szCs w:val="21"/>
        </w:rPr>
        <w:t>graphbased</w:t>
      </w:r>
      <w:proofErr w:type="spellEnd"/>
      <w:r w:rsidRPr="00FA2193">
        <w:rPr>
          <w:rFonts w:ascii="Helvetica" w:eastAsia="Times New Roman" w:hAnsi="Helvetica" w:cs="Times New Roman"/>
          <w:color w:val="333333"/>
          <w:spacing w:val="2"/>
          <w:sz w:val="21"/>
          <w:szCs w:val="21"/>
        </w:rPr>
        <w:t xml:space="preserve"> </w:t>
      </w:r>
      <w:proofErr w:type="spellStart"/>
      <w:r w:rsidRPr="00FA2193">
        <w:rPr>
          <w:rFonts w:ascii="Helvetica" w:eastAsia="Times New Roman" w:hAnsi="Helvetica" w:cs="Times New Roman"/>
          <w:color w:val="333333"/>
          <w:spacing w:val="2"/>
          <w:sz w:val="21"/>
          <w:szCs w:val="21"/>
        </w:rPr>
        <w:t>twosample</w:t>
      </w:r>
      <w:proofErr w:type="spellEnd"/>
      <w:r w:rsidRPr="00FA2193">
        <w:rPr>
          <w:rFonts w:ascii="Helvetica" w:eastAsia="Times New Roman" w:hAnsi="Helvetica" w:cs="Times New Roman"/>
          <w:color w:val="333333"/>
          <w:spacing w:val="2"/>
          <w:sz w:val="21"/>
          <w:szCs w:val="21"/>
        </w:rPr>
        <w:t xml:space="preserve"> tests. Journal of the Royal Statistical Society: Series B (Statistical Methodology), 81(3), 575–602. https://doi-org.bethelu.idm.oclc.org/10.1111/rssb.12319</w:t>
      </w:r>
    </w:p>
    <w:p w14:paraId="52F2A280" w14:textId="77777777" w:rsidR="00FA2193" w:rsidRPr="00FA2193" w:rsidRDefault="00FA2193" w:rsidP="00FA2193">
      <w:pPr>
        <w:shd w:val="clear" w:color="auto" w:fill="FFFFFF"/>
        <w:spacing w:after="150" w:line="240" w:lineRule="auto"/>
        <w:rPr>
          <w:rFonts w:ascii="Helvetica" w:eastAsia="Times New Roman" w:hAnsi="Helvetica" w:cs="Times New Roman"/>
          <w:color w:val="333333"/>
          <w:spacing w:val="2"/>
          <w:sz w:val="21"/>
          <w:szCs w:val="21"/>
        </w:rPr>
      </w:pPr>
      <w:r w:rsidRPr="00FA2193">
        <w:rPr>
          <w:rFonts w:ascii="Helvetica" w:eastAsia="Times New Roman" w:hAnsi="Helvetica" w:cs="Times New Roman"/>
          <w:color w:val="333333"/>
          <w:spacing w:val="2"/>
          <w:sz w:val="21"/>
          <w:szCs w:val="21"/>
        </w:rPr>
        <w:t> </w:t>
      </w:r>
    </w:p>
    <w:p w14:paraId="4150F90B" w14:textId="77777777" w:rsidR="00FA2193" w:rsidRPr="00FA2193" w:rsidRDefault="00FA2193" w:rsidP="00FA2193">
      <w:pPr>
        <w:shd w:val="clear" w:color="auto" w:fill="FFFFFF"/>
        <w:spacing w:after="150" w:line="240" w:lineRule="auto"/>
        <w:rPr>
          <w:rFonts w:ascii="Helvetica" w:eastAsia="Times New Roman" w:hAnsi="Helvetica" w:cs="Times New Roman"/>
          <w:color w:val="333333"/>
          <w:spacing w:val="2"/>
          <w:sz w:val="21"/>
          <w:szCs w:val="21"/>
        </w:rPr>
      </w:pPr>
      <w:r w:rsidRPr="00FA2193">
        <w:rPr>
          <w:rFonts w:ascii="Helvetica" w:eastAsia="Times New Roman" w:hAnsi="Helvetica" w:cs="Times New Roman"/>
          <w:color w:val="333333"/>
          <w:spacing w:val="2"/>
          <w:sz w:val="21"/>
          <w:szCs w:val="21"/>
        </w:rPr>
        <w:t>Mirabella, J. (2011). Business Statistics. Savant Learning Systems</w:t>
      </w:r>
    </w:p>
    <w:p w14:paraId="5A6EEE17" w14:textId="77777777" w:rsidR="00FA2193" w:rsidRPr="00FA2193" w:rsidRDefault="00FA2193" w:rsidP="00FA2193">
      <w:pPr>
        <w:shd w:val="clear" w:color="auto" w:fill="FFFFFF"/>
        <w:spacing w:after="150" w:line="240" w:lineRule="auto"/>
        <w:rPr>
          <w:rFonts w:ascii="Helvetica" w:eastAsia="Times New Roman" w:hAnsi="Helvetica" w:cs="Times New Roman"/>
          <w:color w:val="333333"/>
          <w:spacing w:val="2"/>
          <w:sz w:val="21"/>
          <w:szCs w:val="21"/>
        </w:rPr>
      </w:pPr>
      <w:r w:rsidRPr="00FA2193">
        <w:rPr>
          <w:rFonts w:ascii="Helvetica" w:eastAsia="Times New Roman" w:hAnsi="Helvetica" w:cs="Times New Roman"/>
          <w:color w:val="333333"/>
          <w:spacing w:val="2"/>
          <w:sz w:val="21"/>
          <w:szCs w:val="21"/>
        </w:rPr>
        <w:t> </w:t>
      </w:r>
    </w:p>
    <w:p w14:paraId="6CB0D30D" w14:textId="77777777" w:rsidR="00FA2193" w:rsidRPr="00FA2193" w:rsidRDefault="00FA2193" w:rsidP="00FA2193">
      <w:pPr>
        <w:shd w:val="clear" w:color="auto" w:fill="FFFFFF"/>
        <w:spacing w:after="150" w:line="240" w:lineRule="auto"/>
        <w:rPr>
          <w:rFonts w:ascii="Helvetica" w:eastAsia="Times New Roman" w:hAnsi="Helvetica" w:cs="Times New Roman"/>
          <w:color w:val="333333"/>
          <w:spacing w:val="2"/>
          <w:sz w:val="21"/>
          <w:szCs w:val="21"/>
        </w:rPr>
      </w:pPr>
      <w:r w:rsidRPr="00FA2193">
        <w:rPr>
          <w:rFonts w:ascii="Helvetica" w:eastAsia="Times New Roman" w:hAnsi="Helvetica" w:cs="Times New Roman"/>
          <w:color w:val="333333"/>
          <w:spacing w:val="2"/>
          <w:sz w:val="21"/>
          <w:szCs w:val="21"/>
        </w:rPr>
        <w:t>Rivas-Martínez, G. I., Jiménez-</w:t>
      </w:r>
      <w:proofErr w:type="spellStart"/>
      <w:r w:rsidRPr="00FA2193">
        <w:rPr>
          <w:rFonts w:ascii="Helvetica" w:eastAsia="Times New Roman" w:hAnsi="Helvetica" w:cs="Times New Roman"/>
          <w:color w:val="333333"/>
          <w:spacing w:val="2"/>
          <w:sz w:val="21"/>
          <w:szCs w:val="21"/>
        </w:rPr>
        <w:t>Gamero</w:t>
      </w:r>
      <w:proofErr w:type="spellEnd"/>
      <w:r w:rsidRPr="00FA2193">
        <w:rPr>
          <w:rFonts w:ascii="Helvetica" w:eastAsia="Times New Roman" w:hAnsi="Helvetica" w:cs="Times New Roman"/>
          <w:color w:val="333333"/>
          <w:spacing w:val="2"/>
          <w:sz w:val="21"/>
          <w:szCs w:val="21"/>
        </w:rPr>
        <w:t>, M. D., &amp; Moreno-</w:t>
      </w:r>
      <w:proofErr w:type="spellStart"/>
      <w:r w:rsidRPr="00FA2193">
        <w:rPr>
          <w:rFonts w:ascii="Helvetica" w:eastAsia="Times New Roman" w:hAnsi="Helvetica" w:cs="Times New Roman"/>
          <w:color w:val="333333"/>
          <w:spacing w:val="2"/>
          <w:sz w:val="21"/>
          <w:szCs w:val="21"/>
        </w:rPr>
        <w:t>Rebollo</w:t>
      </w:r>
      <w:proofErr w:type="spellEnd"/>
      <w:r w:rsidRPr="00FA2193">
        <w:rPr>
          <w:rFonts w:ascii="Helvetica" w:eastAsia="Times New Roman" w:hAnsi="Helvetica" w:cs="Times New Roman"/>
          <w:color w:val="333333"/>
          <w:spacing w:val="2"/>
          <w:sz w:val="21"/>
          <w:szCs w:val="21"/>
        </w:rPr>
        <w:t>, J. L. (2019). A two-sample test for the error distribution in nonparametric regression based on the characteristic function. Statistical Papers, 60(4), 1369–1395. https://doi-org.bethelu.idm.oclc.org/10.1007/s00362-017-0878-8</w:t>
      </w:r>
    </w:p>
    <w:p w14:paraId="224ABC01" w14:textId="569D8CBD" w:rsidR="00FA2193" w:rsidRPr="00FA2193" w:rsidRDefault="00FA2193" w:rsidP="00FA2193">
      <w:pPr>
        <w:spacing w:line="240" w:lineRule="auto"/>
        <w:textAlignment w:val="center"/>
        <w:rPr>
          <w:rFonts w:ascii="Times New Roman" w:eastAsia="Times New Roman" w:hAnsi="Times New Roman" w:cs="Times New Roman"/>
          <w:spacing w:val="2"/>
          <w:sz w:val="21"/>
          <w:szCs w:val="21"/>
        </w:rPr>
      </w:pPr>
      <w:r>
        <w:rPr>
          <w:rFonts w:ascii="Times New Roman" w:eastAsia="Times New Roman" w:hAnsi="Times New Roman" w:cs="Times New Roman"/>
          <w:spacing w:val="2"/>
          <w:sz w:val="21"/>
          <w:szCs w:val="21"/>
        </w:rPr>
        <w:t>.</w:t>
      </w:r>
    </w:p>
    <w:p w14:paraId="374FB3AF" w14:textId="4A5199E3" w:rsidR="00FA2193" w:rsidRPr="00FA2193" w:rsidRDefault="00FA2193">
      <w:pPr>
        <w:rPr>
          <w:sz w:val="32"/>
          <w:szCs w:val="32"/>
        </w:rPr>
      </w:pPr>
    </w:p>
    <w:sectPr w:rsidR="00FA2193" w:rsidRPr="00FA21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193"/>
    <w:rsid w:val="00CE07C5"/>
    <w:rsid w:val="00FA2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7785F"/>
  <w15:chartTrackingRefBased/>
  <w15:docId w15:val="{382BF209-00F2-495D-BEDB-DAC763B11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255166">
      <w:bodyDiv w:val="1"/>
      <w:marLeft w:val="0"/>
      <w:marRight w:val="0"/>
      <w:marTop w:val="0"/>
      <w:marBottom w:val="0"/>
      <w:divBdr>
        <w:top w:val="none" w:sz="0" w:space="0" w:color="auto"/>
        <w:left w:val="none" w:sz="0" w:space="0" w:color="auto"/>
        <w:bottom w:val="none" w:sz="0" w:space="0" w:color="auto"/>
        <w:right w:val="none" w:sz="0" w:space="0" w:color="auto"/>
      </w:divBdr>
      <w:divsChild>
        <w:div w:id="1779062106">
          <w:marLeft w:val="0"/>
          <w:marRight w:val="0"/>
          <w:marTop w:val="0"/>
          <w:marBottom w:val="0"/>
          <w:divBdr>
            <w:top w:val="none" w:sz="0" w:space="0" w:color="auto"/>
            <w:left w:val="none" w:sz="0" w:space="0" w:color="auto"/>
            <w:bottom w:val="none" w:sz="0" w:space="0" w:color="auto"/>
            <w:right w:val="none" w:sz="0" w:space="0" w:color="auto"/>
          </w:divBdr>
          <w:divsChild>
            <w:div w:id="65417893">
              <w:marLeft w:val="0"/>
              <w:marRight w:val="0"/>
              <w:marTop w:val="225"/>
              <w:marBottom w:val="225"/>
              <w:divBdr>
                <w:top w:val="none" w:sz="0" w:space="0" w:color="auto"/>
                <w:left w:val="none" w:sz="0" w:space="0" w:color="auto"/>
                <w:bottom w:val="none" w:sz="0" w:space="0" w:color="auto"/>
                <w:right w:val="none" w:sz="0" w:space="0" w:color="auto"/>
              </w:divBdr>
              <w:divsChild>
                <w:div w:id="1601646385">
                  <w:marLeft w:val="0"/>
                  <w:marRight w:val="0"/>
                  <w:marTop w:val="0"/>
                  <w:marBottom w:val="0"/>
                  <w:divBdr>
                    <w:top w:val="none" w:sz="0" w:space="0" w:color="auto"/>
                    <w:left w:val="none" w:sz="0" w:space="0" w:color="auto"/>
                    <w:bottom w:val="none" w:sz="0" w:space="0" w:color="auto"/>
                    <w:right w:val="none" w:sz="0" w:space="0" w:color="auto"/>
                  </w:divBdr>
                  <w:divsChild>
                    <w:div w:id="1194921054">
                      <w:marLeft w:val="0"/>
                      <w:marRight w:val="0"/>
                      <w:marTop w:val="0"/>
                      <w:marBottom w:val="0"/>
                      <w:divBdr>
                        <w:top w:val="none" w:sz="0" w:space="0" w:color="auto"/>
                        <w:left w:val="none" w:sz="0" w:space="0" w:color="auto"/>
                        <w:bottom w:val="none" w:sz="0" w:space="0" w:color="auto"/>
                        <w:right w:val="none" w:sz="0" w:space="0" w:color="auto"/>
                      </w:divBdr>
                    </w:div>
                    <w:div w:id="2098551877">
                      <w:marLeft w:val="0"/>
                      <w:marRight w:val="0"/>
                      <w:marTop w:val="0"/>
                      <w:marBottom w:val="0"/>
                      <w:divBdr>
                        <w:top w:val="none" w:sz="0" w:space="0" w:color="auto"/>
                        <w:left w:val="none" w:sz="0" w:space="0" w:color="auto"/>
                        <w:bottom w:val="none" w:sz="0" w:space="0" w:color="auto"/>
                        <w:right w:val="none" w:sz="0" w:space="0" w:color="auto"/>
                      </w:divBdr>
                      <w:divsChild>
                        <w:div w:id="343436616">
                          <w:marLeft w:val="0"/>
                          <w:marRight w:val="0"/>
                          <w:marTop w:val="0"/>
                          <w:marBottom w:val="0"/>
                          <w:divBdr>
                            <w:top w:val="none" w:sz="0" w:space="0" w:color="auto"/>
                            <w:left w:val="none" w:sz="0" w:space="0" w:color="auto"/>
                            <w:bottom w:val="none" w:sz="0" w:space="0" w:color="auto"/>
                            <w:right w:val="none" w:sz="0" w:space="0" w:color="auto"/>
                          </w:divBdr>
                          <w:divsChild>
                            <w:div w:id="237327336">
                              <w:marLeft w:val="0"/>
                              <w:marRight w:val="0"/>
                              <w:marTop w:val="0"/>
                              <w:marBottom w:val="0"/>
                              <w:divBdr>
                                <w:top w:val="none" w:sz="0" w:space="0" w:color="auto"/>
                                <w:left w:val="none" w:sz="0" w:space="0" w:color="auto"/>
                                <w:bottom w:val="none" w:sz="0" w:space="0" w:color="auto"/>
                                <w:right w:val="none" w:sz="0" w:space="0" w:color="auto"/>
                              </w:divBdr>
                            </w:div>
                          </w:divsChild>
                        </w:div>
                        <w:div w:id="1898780660">
                          <w:marLeft w:val="0"/>
                          <w:marRight w:val="0"/>
                          <w:marTop w:val="0"/>
                          <w:marBottom w:val="0"/>
                          <w:divBdr>
                            <w:top w:val="none" w:sz="0" w:space="0" w:color="auto"/>
                            <w:left w:val="none" w:sz="0" w:space="0" w:color="auto"/>
                            <w:bottom w:val="none" w:sz="0" w:space="0" w:color="auto"/>
                            <w:right w:val="none" w:sz="0" w:space="0" w:color="auto"/>
                          </w:divBdr>
                          <w:divsChild>
                            <w:div w:id="38649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903086">
      <w:bodyDiv w:val="1"/>
      <w:marLeft w:val="0"/>
      <w:marRight w:val="0"/>
      <w:marTop w:val="0"/>
      <w:marBottom w:val="0"/>
      <w:divBdr>
        <w:top w:val="none" w:sz="0" w:space="0" w:color="auto"/>
        <w:left w:val="none" w:sz="0" w:space="0" w:color="auto"/>
        <w:bottom w:val="none" w:sz="0" w:space="0" w:color="auto"/>
        <w:right w:val="none" w:sz="0" w:space="0" w:color="auto"/>
      </w:divBdr>
      <w:divsChild>
        <w:div w:id="205919177">
          <w:marLeft w:val="0"/>
          <w:marRight w:val="0"/>
          <w:marTop w:val="0"/>
          <w:marBottom w:val="0"/>
          <w:divBdr>
            <w:top w:val="none" w:sz="0" w:space="0" w:color="auto"/>
            <w:left w:val="none" w:sz="0" w:space="0" w:color="auto"/>
            <w:bottom w:val="none" w:sz="0" w:space="0" w:color="auto"/>
            <w:right w:val="none" w:sz="0" w:space="0" w:color="auto"/>
          </w:divBdr>
        </w:div>
        <w:div w:id="1351837390">
          <w:marLeft w:val="0"/>
          <w:marRight w:val="0"/>
          <w:marTop w:val="0"/>
          <w:marBottom w:val="0"/>
          <w:divBdr>
            <w:top w:val="none" w:sz="0" w:space="0" w:color="auto"/>
            <w:left w:val="none" w:sz="0" w:space="0" w:color="auto"/>
            <w:bottom w:val="none" w:sz="0" w:space="0" w:color="auto"/>
            <w:right w:val="none" w:sz="0" w:space="0" w:color="auto"/>
          </w:divBdr>
          <w:divsChild>
            <w:div w:id="337386089">
              <w:marLeft w:val="0"/>
              <w:marRight w:val="0"/>
              <w:marTop w:val="0"/>
              <w:marBottom w:val="0"/>
              <w:divBdr>
                <w:top w:val="none" w:sz="0" w:space="0" w:color="auto"/>
                <w:left w:val="none" w:sz="0" w:space="0" w:color="auto"/>
                <w:bottom w:val="none" w:sz="0" w:space="0" w:color="auto"/>
                <w:right w:val="none" w:sz="0" w:space="0" w:color="auto"/>
              </w:divBdr>
              <w:divsChild>
                <w:div w:id="24256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bethelu.idm.oclc.org/10.1080/146166702101304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631</Words>
  <Characters>3603</Characters>
  <Application>Microsoft Office Word</Application>
  <DocSecurity>0</DocSecurity>
  <Lines>30</Lines>
  <Paragraphs>8</Paragraphs>
  <ScaleCrop>false</ScaleCrop>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2020-10-22T00:32:00Z</dcterms:created>
  <dcterms:modified xsi:type="dcterms:W3CDTF">2020-10-22T00:35:00Z</dcterms:modified>
</cp:coreProperties>
</file>